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kern w:val="0"/>
          <w:sz w:val="24"/>
        </w:rPr>
        <w:t>西北大学研究生</w:t>
      </w:r>
      <w:r>
        <w:rPr>
          <w:rFonts w:hint="eastAsia" w:ascii="Times New Roman" w:hAnsi="Times New Roman" w:eastAsia="黑体" w:cs="Times New Roman"/>
          <w:b/>
          <w:kern w:val="0"/>
          <w:sz w:val="24"/>
        </w:rPr>
        <w:t>A 级</w:t>
      </w:r>
      <w:r>
        <w:rPr>
          <w:rFonts w:ascii="Times New Roman" w:hAnsi="Times New Roman" w:eastAsia="黑体" w:cs="Times New Roman"/>
          <w:b/>
          <w:kern w:val="0"/>
          <w:sz w:val="24"/>
        </w:rPr>
        <w:t>《</w:t>
      </w:r>
      <w:r>
        <w:rPr>
          <w:rFonts w:ascii="Times New Roman" w:hAnsi="Times New Roman" w:cs="Times New Roman"/>
          <w:b/>
          <w:bCs/>
          <w:sz w:val="24"/>
        </w:rPr>
        <w:t>英语水平</w:t>
      </w:r>
      <w:r>
        <w:rPr>
          <w:rFonts w:hint="eastAsia" w:ascii="Times New Roman" w:hAnsi="Times New Roman" w:cs="Times New Roman"/>
          <w:b/>
          <w:bCs/>
          <w:sz w:val="24"/>
        </w:rPr>
        <w:t>进阶</w:t>
      </w:r>
      <w:r>
        <w:rPr>
          <w:rFonts w:ascii="Times New Roman" w:hAnsi="Times New Roman" w:eastAsia="黑体" w:cs="Times New Roman"/>
          <w:b/>
          <w:kern w:val="0"/>
          <w:sz w:val="24"/>
        </w:rPr>
        <w:t>》课程</w:t>
      </w:r>
      <w:r>
        <w:rPr>
          <w:rFonts w:ascii="Times New Roman" w:hAnsi="Times New Roman" w:eastAsia="黑体" w:cs="Times New Roman"/>
          <w:b/>
          <w:sz w:val="24"/>
        </w:rPr>
        <w:t>教学大纲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 xml:space="preserve">                  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</w:t>
      </w:r>
      <w:r>
        <w:rPr>
          <w:rFonts w:ascii="Times New Roman" w:hAnsi="Times New Roman" w:cs="Times New Roman"/>
          <w:b/>
          <w:bCs/>
          <w:sz w:val="24"/>
        </w:rPr>
        <w:t>、课程名称（中文）：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《英语水平</w:t>
      </w:r>
      <w:r>
        <w:rPr>
          <w:rFonts w:hint="eastAsia" w:ascii="Times New Roman" w:hAnsi="Times New Roman" w:cs="Times New Roman"/>
          <w:sz w:val="24"/>
          <w:lang w:eastAsia="zh-CN"/>
        </w:rPr>
        <w:t>进阶</w:t>
      </w:r>
      <w:r>
        <w:rPr>
          <w:rFonts w:ascii="Times New Roman" w:hAnsi="Times New Roman" w:cs="Times New Roman"/>
          <w:sz w:val="24"/>
        </w:rPr>
        <w:t xml:space="preserve">》                    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  <w:i/>
          <w:i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课程名称（英文）</w:t>
      </w:r>
      <w:r>
        <w:rPr>
          <w:rFonts w:ascii="Times New Roman" w:hAnsi="Times New Roman" w:cs="Times New Roman"/>
          <w:sz w:val="24"/>
        </w:rPr>
        <w:t>：</w:t>
      </w:r>
      <w:r>
        <w:rPr>
          <w:rFonts w:hint="eastAsia"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i/>
          <w:iCs/>
          <w:sz w:val="24"/>
        </w:rPr>
        <w:t>College English Test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二、学时学分： </w:t>
      </w:r>
      <w:r>
        <w:rPr>
          <w:rFonts w:ascii="Times New Roman" w:hAnsi="Times New Roman" w:cs="Times New Roman"/>
          <w:sz w:val="24"/>
        </w:rPr>
        <w:t xml:space="preserve">       </w:t>
      </w:r>
      <w:r>
        <w:rPr>
          <w:rFonts w:hint="eastAsia"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2学时/周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三、适用的学位类型：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 xml:space="preserve">硕士  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四、使用教材(讲义)</w:t>
      </w:r>
      <w:r>
        <w:rPr>
          <w:rFonts w:ascii="Times New Roman" w:hAnsi="Times New Roman" w:cs="Times New Roman"/>
          <w:sz w:val="24"/>
        </w:rPr>
        <w:t>：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2016年6月大学英语六级真题（3套）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2016年12月大学英语六级真题（3套）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</w:t>
      </w:r>
      <w:r>
        <w:rPr>
          <w:rFonts w:hint="eastAsia"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名著阅读与词汇突破（下册）（天津大学出版社）   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主要参考书目(文献)</w:t>
      </w:r>
      <w:r>
        <w:rPr>
          <w:rFonts w:ascii="Times New Roman" w:hAnsi="Times New Roman" w:cs="Times New Roman"/>
          <w:sz w:val="24"/>
        </w:rPr>
        <w:t>：</w:t>
      </w:r>
    </w:p>
    <w:p>
      <w:pPr>
        <w:pStyle w:val="5"/>
        <w:spacing w:line="360" w:lineRule="auto"/>
        <w:ind w:left="420" w:leftChars="200" w:firstLine="0" w:firstLineChars="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1.《</w:t>
      </w:r>
      <w:r>
        <w:rPr>
          <w:rFonts w:ascii="Times New Roman" w:hAnsi="Times New Roman" w:cs="Times New Roman"/>
          <w:sz w:val="24"/>
        </w:rPr>
        <w:t>2018考研英语长难句解密</w:t>
      </w:r>
      <w:r>
        <w:rPr>
          <w:rFonts w:hint="eastAsia" w:ascii="Times New Roman" w:hAnsi="Times New Roman" w:cs="Times New Roman"/>
          <w:sz w:val="24"/>
        </w:rPr>
        <w:t xml:space="preserve">》 主编 </w:t>
      </w:r>
      <w:r>
        <w:rPr>
          <w:rFonts w:ascii="Times New Roman" w:hAnsi="Times New Roman" w:cs="Times New Roman"/>
          <w:sz w:val="24"/>
        </w:rPr>
        <w:t>何凯文，中国原子能出版社</w:t>
      </w:r>
    </w:p>
    <w:p>
      <w:pPr>
        <w:pStyle w:val="5"/>
        <w:spacing w:line="360" w:lineRule="auto"/>
        <w:ind w:left="420" w:leftChars="200" w:firstLine="0" w:firstLineChars="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2.《</w:t>
      </w:r>
      <w:r>
        <w:rPr>
          <w:rFonts w:ascii="Times New Roman" w:hAnsi="Times New Roman" w:cs="Times New Roman"/>
          <w:sz w:val="24"/>
        </w:rPr>
        <w:t>大学英语6级听力1000题</w:t>
      </w:r>
      <w:r>
        <w:rPr>
          <w:rFonts w:hint="eastAsia" w:ascii="Times New Roman" w:hAnsi="Times New Roman" w:cs="Times New Roman"/>
          <w:sz w:val="24"/>
        </w:rPr>
        <w:t>》 主编</w:t>
      </w:r>
      <w:r>
        <w:rPr>
          <w:rFonts w:ascii="Times New Roman" w:hAnsi="Times New Roman" w:cs="Times New Roman"/>
          <w:sz w:val="24"/>
        </w:rPr>
        <w:t xml:space="preserve"> 潘晓燕</w:t>
      </w:r>
      <w:r>
        <w:rPr>
          <w:rFonts w:hint="eastAsia"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>世界图书出版社</w:t>
      </w:r>
    </w:p>
    <w:p>
      <w:pPr>
        <w:pStyle w:val="5"/>
        <w:spacing w:line="360" w:lineRule="auto"/>
        <w:ind w:left="420" w:leftChars="200" w:firstLine="0" w:firstLineChars="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3.《</w:t>
      </w:r>
      <w:r>
        <w:rPr>
          <w:rFonts w:ascii="Times New Roman" w:hAnsi="Times New Roman" w:cs="Times New Roman"/>
          <w:sz w:val="24"/>
        </w:rPr>
        <w:t>大学英语六级阅读180篇</w:t>
      </w:r>
      <w:r>
        <w:rPr>
          <w:rFonts w:hint="eastAsia" w:ascii="Times New Roman" w:hAnsi="Times New Roman" w:cs="Times New Roman"/>
          <w:sz w:val="24"/>
        </w:rPr>
        <w:t>》  主编</w:t>
      </w:r>
      <w:r>
        <w:rPr>
          <w:rFonts w:ascii="Times New Roman" w:hAnsi="Times New Roman" w:cs="Times New Roman"/>
          <w:sz w:val="24"/>
        </w:rPr>
        <w:t xml:space="preserve"> 潘晓燕</w:t>
      </w:r>
      <w:r>
        <w:rPr>
          <w:rFonts w:hint="eastAsia"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>世界图书出版社</w:t>
      </w:r>
    </w:p>
    <w:p>
      <w:pPr>
        <w:pStyle w:val="5"/>
        <w:spacing w:line="360" w:lineRule="auto"/>
        <w:ind w:left="420" w:leftChars="200" w:firstLine="0" w:firstLineChars="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4.《</w:t>
      </w:r>
      <w:r>
        <w:rPr>
          <w:rFonts w:ascii="Times New Roman" w:hAnsi="Times New Roman" w:cs="Times New Roman"/>
          <w:sz w:val="24"/>
        </w:rPr>
        <w:t>英语六级翻译200篇</w:t>
      </w:r>
      <w:r>
        <w:rPr>
          <w:rFonts w:hint="eastAsia" w:ascii="Times New Roman" w:hAnsi="Times New Roman" w:cs="Times New Roman"/>
          <w:sz w:val="24"/>
        </w:rPr>
        <w:t>》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 xml:space="preserve">     主编 </w:t>
      </w:r>
      <w:r>
        <w:rPr>
          <w:rFonts w:ascii="Times New Roman" w:hAnsi="Times New Roman" w:cs="Times New Roman"/>
          <w:sz w:val="24"/>
        </w:rPr>
        <w:t>潘晓燕</w:t>
      </w:r>
      <w:r>
        <w:rPr>
          <w:rFonts w:hint="eastAsia"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世界图书出版社</w:t>
      </w:r>
    </w:p>
    <w:p>
      <w:pPr>
        <w:pStyle w:val="5"/>
        <w:spacing w:line="360" w:lineRule="auto"/>
        <w:ind w:left="420" w:leftChars="200" w:firstLine="0" w:firstLineChars="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5.《</w:t>
      </w:r>
      <w:r>
        <w:rPr>
          <w:rFonts w:ascii="Times New Roman" w:hAnsi="Times New Roman" w:cs="Times New Roman"/>
          <w:sz w:val="24"/>
        </w:rPr>
        <w:t>大学英语6级写作范文100篇</w:t>
      </w:r>
      <w:r>
        <w:rPr>
          <w:rFonts w:hint="eastAsia" w:ascii="Times New Roman" w:hAnsi="Times New Roman" w:cs="Times New Roman"/>
          <w:sz w:val="24"/>
        </w:rPr>
        <w:t xml:space="preserve">》主编 </w:t>
      </w:r>
      <w:r>
        <w:rPr>
          <w:rFonts w:ascii="Times New Roman" w:hAnsi="Times New Roman" w:cs="Times New Roman"/>
          <w:sz w:val="24"/>
        </w:rPr>
        <w:t>钦寅</w:t>
      </w:r>
      <w:r>
        <w:rPr>
          <w:rFonts w:hint="eastAsia"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>世界图书出版社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五、开课单位及授课人员： 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西北大学外国语学院</w:t>
      </w:r>
      <w:r>
        <w:rPr>
          <w:rFonts w:hint="eastAsia" w:ascii="Times New Roman" w:hAnsi="Times New Roman" w:cs="Times New Roman"/>
          <w:sz w:val="24"/>
        </w:rPr>
        <w:t xml:space="preserve">大外三部  </w:t>
      </w:r>
      <w:r>
        <w:rPr>
          <w:rFonts w:ascii="Times New Roman" w:hAnsi="Times New Roman" w:cs="Times New Roman"/>
          <w:sz w:val="24"/>
        </w:rPr>
        <w:t>易春芳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六、课程简介</w:t>
      </w:r>
      <w:r>
        <w:rPr>
          <w:rFonts w:hint="eastAsia" w:ascii="Times New Roman" w:hAnsi="Times New Roman" w:cs="Times New Roman"/>
          <w:sz w:val="24"/>
        </w:rPr>
        <w:t>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课程目的</w:t>
      </w:r>
      <w:r>
        <w:rPr>
          <w:rFonts w:hint="eastAsia" w:ascii="Times New Roman" w:hAnsi="Times New Roman" w:cs="Times New Roman"/>
          <w:sz w:val="24"/>
        </w:rPr>
        <w:t>：</w:t>
      </w:r>
      <w:r>
        <w:rPr>
          <w:rFonts w:ascii="Times New Roman" w:hAnsi="Times New Roman" w:cs="Times New Roman"/>
          <w:sz w:val="24"/>
        </w:rPr>
        <w:t>提</w:t>
      </w:r>
      <w:r>
        <w:rPr>
          <w:rFonts w:hint="eastAsia" w:ascii="Times New Roman" w:hAnsi="Times New Roman" w:cs="Times New Roman"/>
          <w:sz w:val="24"/>
        </w:rPr>
        <w:t>升</w:t>
      </w:r>
      <w:r>
        <w:rPr>
          <w:rFonts w:ascii="Times New Roman" w:hAnsi="Times New Roman" w:cs="Times New Roman"/>
          <w:sz w:val="24"/>
        </w:rPr>
        <w:t>非英语专业研究生英语</w:t>
      </w:r>
      <w:r>
        <w:rPr>
          <w:rFonts w:hint="eastAsia" w:ascii="Times New Roman" w:hAnsi="Times New Roman" w:cs="Times New Roman"/>
          <w:sz w:val="24"/>
        </w:rPr>
        <w:t>水平</w:t>
      </w:r>
      <w:r>
        <w:rPr>
          <w:rFonts w:ascii="Times New Roman" w:hAnsi="Times New Roman" w:cs="Times New Roman"/>
          <w:sz w:val="24"/>
        </w:rPr>
        <w:t>，提高英语水平考试测试技能（大学英语六级及以上）</w:t>
      </w:r>
      <w:r>
        <w:rPr>
          <w:rFonts w:hint="eastAsia" w:ascii="Times New Roman" w:hAnsi="Times New Roman" w:cs="Times New Roman"/>
          <w:sz w:val="24"/>
        </w:rPr>
        <w:t>。</w:t>
      </w:r>
      <w:r>
        <w:rPr>
          <w:rFonts w:ascii="Times New Roman" w:hAnsi="Times New Roman" w:cs="Times New Roman"/>
          <w:sz w:val="24"/>
        </w:rPr>
        <w:t>从听、说、读、写、译五个方面全面提高学生的英语实用能力，并拓展学生的英语知识面。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>课程内容</w:t>
      </w:r>
      <w:r>
        <w:rPr>
          <w:rFonts w:hint="eastAsia" w:ascii="Times New Roman" w:hAnsi="Times New Roman" w:cs="Times New Roman"/>
          <w:sz w:val="24"/>
        </w:rPr>
        <w:t>：</w:t>
      </w:r>
      <w:r>
        <w:rPr>
          <w:rFonts w:ascii="Times New Roman" w:hAnsi="Times New Roman" w:cs="Times New Roman"/>
          <w:sz w:val="24"/>
        </w:rPr>
        <w:t>教学采用讲、练、考相结合的方式。</w:t>
      </w:r>
      <w:r>
        <w:rPr>
          <w:rFonts w:hint="eastAsia" w:ascii="Times New Roman" w:hAnsi="Times New Roman" w:cs="Times New Roman"/>
          <w:sz w:val="24"/>
        </w:rPr>
        <w:t>主要</w:t>
      </w:r>
      <w:r>
        <w:rPr>
          <w:rFonts w:ascii="Times New Roman" w:hAnsi="Times New Roman" w:cs="Times New Roman"/>
          <w:sz w:val="24"/>
        </w:rPr>
        <w:t>包括中高级英语语法讲授、六级真题练习与讲解、英语考试技能培训等。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七、教学内容、教学方式及学时分配：</w:t>
      </w:r>
    </w:p>
    <w:tbl>
      <w:tblPr>
        <w:tblStyle w:val="4"/>
        <w:tblW w:w="853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"/>
        <w:gridCol w:w="836"/>
        <w:gridCol w:w="4484"/>
        <w:gridCol w:w="237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835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ind w:firstLine="118" w:firstLineChars="49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</w:rPr>
              <w:t>上课</w:t>
            </w:r>
          </w:p>
          <w:p>
            <w:pPr>
              <w:widowControl/>
              <w:snapToGrid w:val="0"/>
              <w:spacing w:line="360" w:lineRule="auto"/>
              <w:ind w:firstLine="118" w:firstLineChars="49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</w:rPr>
              <w:t>次数</w:t>
            </w:r>
          </w:p>
        </w:tc>
        <w:tc>
          <w:tcPr>
            <w:tcW w:w="836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</w:rPr>
              <w:t>学时</w:t>
            </w:r>
          </w:p>
        </w:tc>
        <w:tc>
          <w:tcPr>
            <w:tcW w:w="4484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kern w:val="0"/>
                <w:sz w:val="24"/>
              </w:rPr>
              <w:t>教学内容</w:t>
            </w:r>
          </w:p>
        </w:tc>
        <w:tc>
          <w:tcPr>
            <w:tcW w:w="2379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kern w:val="0"/>
                <w:sz w:val="24"/>
              </w:rPr>
              <w:t>教学方式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>课程介绍-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>--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大学英语测试考试题型介绍，本学期开课安排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教师讲授+课堂讨论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第2次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英语核心能力养成（1）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+ 听力长对话6大解题技巧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第3次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英语核心能力养成（2）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 xml:space="preserve">+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听力篇章5大解题技巧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第4次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英语核心能力养成（3）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 xml:space="preserve">+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讲座／讲话5大解题技巧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第5次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英语核心能力养成（4）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 xml:space="preserve">+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词汇理解解题攻略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第6次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英语核心能力养成（5）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 xml:space="preserve">+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长篇阅读解题攻略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第7次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英语核心能力养成（6）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 xml:space="preserve">+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仔细阅读解题攻略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第8次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</w:rPr>
              <w:t>第一次真题／预测题测试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考试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第9次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试卷讲解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教师讲授+课堂讨论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第10次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英语核心能力养成（7）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 xml:space="preserve">+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汉译英翻译9个技巧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第11次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英语核心能力养成（8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 xml:space="preserve">+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汉译英翻译9个技巧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第12次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英语核心能力养成（9）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 xml:space="preserve">+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汉译英翻译9个技巧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第13次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英语核心能力养成（10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）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 xml:space="preserve">+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写作训练（1）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第14次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英语核心能力养成（11）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 xml:space="preserve">+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写作训练（2）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第15次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英语核心能力养成（12）</w:t>
            </w:r>
            <w:r>
              <w:rPr>
                <w:rFonts w:hint="eastAsia" w:ascii="Times New Roman" w:hAnsi="Times New Roman" w:cs="Times New Roman"/>
                <w:kern w:val="0"/>
                <w:sz w:val="24"/>
              </w:rPr>
              <w:t xml:space="preserve">+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写作训练（3）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第16次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</w:rPr>
              <w:t>第二次真题／预测题测试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考试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第17次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试卷讲解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教师讲授+课堂讨论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第18次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2学时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</w:rPr>
              <w:t xml:space="preserve">        课程考试</w:t>
            </w: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</w:rPr>
              <w:t xml:space="preserve">       闭卷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</w:rPr>
              <w:t>合计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</w:rPr>
              <w:t>36学时</w:t>
            </w:r>
          </w:p>
        </w:tc>
        <w:tc>
          <w:tcPr>
            <w:tcW w:w="448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379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Times New Roman" w:hAnsi="Times New Roman" w:cs="Times New Roman"/>
                <w:bCs/>
                <w:kern w:val="0"/>
                <w:sz w:val="24"/>
              </w:rPr>
            </w:pPr>
          </w:p>
        </w:tc>
      </w:tr>
    </w:tbl>
    <w:p/>
    <w:p/>
    <w:p>
      <w:pPr>
        <w:widowControl/>
        <w:jc w:val="left"/>
      </w:pPr>
      <w:r>
        <w:br w:type="page"/>
      </w:r>
    </w:p>
    <w:p>
      <w:pPr>
        <w:widowControl/>
        <w:spacing w:line="40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</w:pPr>
      <w:r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  <w:t xml:space="preserve">Syllabus Framework for Graduate Courses of </w:t>
      </w:r>
    </w:p>
    <w:p>
      <w:pPr>
        <w:widowControl/>
        <w:spacing w:line="40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</w:pPr>
      <w:r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  <w:t>Northwest University</w:t>
      </w:r>
    </w:p>
    <w:p>
      <w:pPr>
        <w:widowControl/>
        <w:spacing w:line="40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</w:pPr>
    </w:p>
    <w:p>
      <w:pPr>
        <w:pStyle w:val="2"/>
        <w:ind w:firstLine="241" w:firstLineChars="100"/>
        <w:jc w:val="both"/>
        <w:rPr>
          <w:rFonts w:hint="default" w:ascii="Times New Roman" w:hAnsi="Times New Roman" w:cs="Times New Roman"/>
          <w:i/>
          <w:kern w:val="0"/>
          <w:sz w:val="24"/>
          <w:szCs w:val="24"/>
        </w:rPr>
      </w:pPr>
      <w:bookmarkStart w:id="0" w:name="_Toc290137697"/>
      <w:r>
        <w:rPr>
          <w:rFonts w:hint="eastAsia" w:cs="Times New Roman"/>
          <w:b/>
          <w:bCs w:val="0"/>
          <w:i/>
          <w:kern w:val="0"/>
          <w:sz w:val="24"/>
          <w:szCs w:val="24"/>
          <w:lang w:val="en-US" w:eastAsia="zh-CN"/>
        </w:rPr>
        <w:t>Course：</w:t>
      </w:r>
      <w:r>
        <w:rPr>
          <w:rFonts w:hint="default" w:ascii="Times New Roman" w:hAnsi="Times New Roman" w:cs="Times New Roman"/>
          <w:i/>
          <w:kern w:val="0"/>
          <w:sz w:val="24"/>
          <w:szCs w:val="24"/>
        </w:rPr>
        <w:t xml:space="preserve">College English Test                      </w:t>
      </w:r>
    </w:p>
    <w:bookmarkEnd w:id="0"/>
    <w:p>
      <w:pPr>
        <w:widowControl/>
        <w:tabs>
          <w:tab w:val="left" w:pos="1078"/>
          <w:tab w:val="left" w:pos="5040"/>
        </w:tabs>
        <w:snapToGrid w:val="0"/>
        <w:spacing w:line="400" w:lineRule="exact"/>
        <w:jc w:val="left"/>
        <w:rPr>
          <w:rFonts w:hint="default" w:ascii="Times New Roman" w:hAnsi="Times New Roman" w:cs="Times New Roman"/>
          <w:bCs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 xml:space="preserve">  </w:t>
      </w:r>
    </w:p>
    <w:p>
      <w:pPr>
        <w:widowControl/>
        <w:numPr>
          <w:ilvl w:val="0"/>
          <w:numId w:val="1"/>
        </w:numPr>
        <w:snapToGrid w:val="0"/>
        <w:spacing w:line="400" w:lineRule="exact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Purpose of the Course: </w:t>
      </w:r>
    </w:p>
    <w:p>
      <w:pPr>
        <w:widowControl/>
        <w:numPr>
          <w:ilvl w:val="0"/>
          <w:numId w:val="0"/>
        </w:numPr>
        <w:snapToGrid w:val="0"/>
        <w:spacing w:line="400" w:lineRule="exact"/>
        <w:ind w:left="479" w:leftChars="228" w:firstLine="0" w:firstLineChars="0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 xml:space="preserve">To improve non-English-major graduate students’ comprehensive language proficiency in listening, speaking, reading, writing and interpreting, and drill them in English language tests equal to or higher than CET-6. </w:t>
      </w:r>
    </w:p>
    <w:p>
      <w:pPr>
        <w:widowControl/>
        <w:numPr>
          <w:ilvl w:val="0"/>
          <w:numId w:val="1"/>
        </w:numPr>
        <w:snapToGrid w:val="0"/>
        <w:spacing w:line="400" w:lineRule="exac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kern w:val="0"/>
          <w:sz w:val="24"/>
          <w:szCs w:val="24"/>
        </w:rPr>
        <w:t>Teaching Objects: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 xml:space="preserve"> </w:t>
      </w:r>
    </w:p>
    <w:p>
      <w:pPr>
        <w:widowControl/>
        <w:numPr>
          <w:ilvl w:val="0"/>
          <w:numId w:val="0"/>
        </w:numPr>
        <w:snapToGrid w:val="0"/>
        <w:spacing w:line="400" w:lineRule="exact"/>
        <w:ind w:firstLine="480" w:firstLineChars="20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Suitable for First years graduate students.</w:t>
      </w:r>
    </w:p>
    <w:p>
      <w:pPr>
        <w:widowControl/>
        <w:numPr>
          <w:ilvl w:val="0"/>
          <w:numId w:val="1"/>
        </w:numPr>
        <w:snapToGrid w:val="0"/>
        <w:spacing w:line="400" w:lineRule="exact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kern w:val="0"/>
          <w:sz w:val="24"/>
          <w:szCs w:val="24"/>
        </w:rPr>
        <w:t xml:space="preserve">Teaching Content: </w:t>
      </w:r>
    </w:p>
    <w:p>
      <w:pPr>
        <w:widowControl/>
        <w:numPr>
          <w:ilvl w:val="0"/>
          <w:numId w:val="0"/>
        </w:numPr>
        <w:snapToGrid w:val="0"/>
        <w:spacing w:line="400" w:lineRule="exact"/>
        <w:ind w:left="479" w:leftChars="228" w:firstLine="0" w:firstLineChars="0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 xml:space="preserve">Advanced English grammar, specialized lectures on testing skills in </w:t>
      </w:r>
      <w:r>
        <w:rPr>
          <w:rFonts w:hint="default" w:ascii="Times New Roman" w:hAnsi="Times New Roman" w:cs="Times New Roman"/>
          <w:bCs/>
          <w:sz w:val="24"/>
          <w:szCs w:val="24"/>
        </w:rPr>
        <w:t>listening, speaking, reading, writing and interpreting, and simulated tests.</w:t>
      </w:r>
    </w:p>
    <w:p>
      <w:pPr>
        <w:widowControl/>
        <w:numPr>
          <w:ilvl w:val="0"/>
          <w:numId w:val="1"/>
        </w:numPr>
        <w:snapToGrid w:val="0"/>
        <w:spacing w:line="400" w:lineRule="exac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kern w:val="0"/>
          <w:sz w:val="24"/>
          <w:szCs w:val="24"/>
        </w:rPr>
        <w:t xml:space="preserve">Assessment Method: </w:t>
      </w:r>
    </w:p>
    <w:p>
      <w:pPr>
        <w:widowControl/>
        <w:tabs>
          <w:tab w:val="left" w:pos="360"/>
        </w:tabs>
        <w:snapToGrid w:val="0"/>
        <w:spacing w:line="400" w:lineRule="exact"/>
        <w:ind w:left="36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kern w:val="0"/>
          <w:sz w:val="24"/>
          <w:szCs w:val="24"/>
        </w:rPr>
        <w:t>A combination of process evaluation (60%) and a final test (40%)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/>
        </w:rPr>
        <w:t>.</w:t>
      </w:r>
    </w:p>
    <w:p>
      <w:pPr>
        <w:widowControl/>
        <w:numPr>
          <w:ilvl w:val="0"/>
          <w:numId w:val="1"/>
        </w:numPr>
        <w:snapToGrid w:val="0"/>
        <w:spacing w:line="400" w:lineRule="exac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kern w:val="0"/>
          <w:sz w:val="24"/>
          <w:szCs w:val="24"/>
        </w:rPr>
        <w:t>Required Texts:</w:t>
      </w:r>
      <w:r>
        <w:rPr>
          <w:rFonts w:hint="default" w:ascii="Times New Roman" w:hAnsi="Times New Roman" w:cs="Times New Roman"/>
          <w:kern w:val="0"/>
          <w:sz w:val="24"/>
          <w:szCs w:val="24"/>
        </w:rPr>
        <w:t xml:space="preserve"> </w:t>
      </w:r>
    </w:p>
    <w:p>
      <w:pPr>
        <w:widowControl/>
        <w:numPr>
          <w:ilvl w:val="0"/>
          <w:numId w:val="0"/>
        </w:numPr>
        <w:snapToGrid w:val="0"/>
        <w:spacing w:line="400" w:lineRule="exact"/>
        <w:ind w:leftChars="0" w:firstLine="480" w:firstLineChars="20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Printed materials and handouts.</w:t>
      </w:r>
    </w:p>
    <w:p>
      <w:pPr>
        <w:widowControl/>
        <w:numPr>
          <w:ilvl w:val="0"/>
          <w:numId w:val="1"/>
        </w:numPr>
        <w:snapToGrid w:val="0"/>
        <w:spacing w:line="400" w:lineRule="exac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kern w:val="0"/>
          <w:sz w:val="24"/>
          <w:szCs w:val="24"/>
        </w:rPr>
        <w:t xml:space="preserve">Other Materials on Reserve: </w:t>
      </w:r>
    </w:p>
    <w:p>
      <w:pPr>
        <w:pStyle w:val="7"/>
        <w:widowControl/>
        <w:numPr>
          <w:ilvl w:val="0"/>
          <w:numId w:val="2"/>
        </w:numPr>
        <w:snapToGrid w:val="0"/>
        <w:spacing w:line="400" w:lineRule="exact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 xml:space="preserve">Zhang Fan. </w:t>
      </w:r>
      <w:r>
        <w:rPr>
          <w:rFonts w:hint="default" w:ascii="Times New Roman" w:hAnsi="Times New Roman" w:cs="Times New Roman"/>
          <w:bCs/>
          <w:i/>
          <w:sz w:val="24"/>
          <w:szCs w:val="24"/>
        </w:rPr>
        <w:t>Novel Reading and Vocabulary Improvement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(2). Ed. Tianjin University Press. 2012.</w:t>
      </w:r>
    </w:p>
    <w:p>
      <w:pPr>
        <w:pStyle w:val="7"/>
        <w:widowControl/>
        <w:numPr>
          <w:ilvl w:val="0"/>
          <w:numId w:val="2"/>
        </w:numPr>
        <w:snapToGrid w:val="0"/>
        <w:spacing w:line="400" w:lineRule="exact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 xml:space="preserve">He Kaiwen. </w:t>
      </w:r>
      <w:r>
        <w:rPr>
          <w:rFonts w:hint="default" w:ascii="Times New Roman" w:hAnsi="Times New Roman" w:cs="Times New Roman"/>
          <w:bCs/>
          <w:i/>
          <w:sz w:val="24"/>
          <w:szCs w:val="24"/>
        </w:rPr>
        <w:t>2018</w:t>
      </w:r>
      <w:r>
        <w:rPr>
          <w:rFonts w:hint="eastAsia" w:ascii="Times New Roman" w:hAnsi="Times New Roman" w:cs="Times New Roman"/>
          <w:bCs/>
          <w:i/>
          <w:sz w:val="24"/>
          <w:szCs w:val="24"/>
          <w:lang w:val="en-US" w:eastAsia="zh-CN"/>
        </w:rPr>
        <w:t xml:space="preserve">. </w:t>
      </w:r>
      <w:bookmarkStart w:id="1" w:name="_GoBack"/>
      <w:bookmarkEnd w:id="1"/>
      <w:r>
        <w:rPr>
          <w:rFonts w:hint="default" w:ascii="Times New Roman" w:hAnsi="Times New Roman" w:cs="Times New Roman"/>
          <w:bCs/>
          <w:i/>
          <w:sz w:val="24"/>
          <w:szCs w:val="24"/>
        </w:rPr>
        <w:t xml:space="preserve"> Kaoyan Changnanju Jiemi</w:t>
      </w:r>
      <w:r>
        <w:rPr>
          <w:rFonts w:hint="default" w:ascii="Times New Roman" w:hAnsi="Times New Roman" w:cs="Times New Roman"/>
          <w:bCs/>
          <w:sz w:val="24"/>
          <w:szCs w:val="24"/>
        </w:rPr>
        <w:t>. Ed. Atomic Energy Press. 2016.</w:t>
      </w:r>
    </w:p>
    <w:p>
      <w:pPr>
        <w:widowControl/>
        <w:numPr>
          <w:ilvl w:val="0"/>
          <w:numId w:val="3"/>
        </w:numPr>
        <w:snapToGrid w:val="0"/>
        <w:spacing w:line="400" w:lineRule="exact"/>
        <w:jc w:val="left"/>
        <w:rPr>
          <w:rFonts w:hint="default" w:ascii="Times New Roman" w:hAnsi="Times New Roman" w:cs="Times New Roman"/>
          <w:b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b/>
          <w:kern w:val="0"/>
          <w:sz w:val="24"/>
          <w:szCs w:val="24"/>
        </w:rPr>
        <w:t>Teaching Methods:</w:t>
      </w:r>
    </w:p>
    <w:p>
      <w:pPr>
        <w:widowControl/>
        <w:snapToGrid w:val="0"/>
        <w:spacing w:line="400" w:lineRule="exact"/>
        <w:ind w:firstLine="240" w:firstLineChars="100"/>
        <w:jc w:val="left"/>
        <w:rPr>
          <w:rFonts w:hint="default" w:ascii="Times New Roman" w:hAnsi="Times New Roman" w:cs="Times New Roman"/>
          <w:bCs/>
          <w:kern w:val="0"/>
          <w:sz w:val="24"/>
        </w:rPr>
      </w:pPr>
      <w:r>
        <w:rPr>
          <w:rFonts w:hint="default" w:ascii="Times New Roman" w:hAnsi="Times New Roman" w:cs="Times New Roman"/>
          <w:bCs/>
          <w:kern w:val="0"/>
          <w:sz w:val="24"/>
        </w:rPr>
        <w:t>A</w:t>
      </w:r>
      <w:r>
        <w:rPr>
          <w:rFonts w:hint="eastAsia" w:ascii="Times New Roman" w:hAnsi="Times New Roman" w:cs="Times New Roman"/>
          <w:bCs/>
          <w:kern w:val="0"/>
          <w:sz w:val="24"/>
          <w:lang w:val="en-US" w:eastAsia="zh-CN"/>
        </w:rPr>
        <w:t xml:space="preserve"> task</w:t>
      </w:r>
      <w:r>
        <w:rPr>
          <w:rFonts w:hint="default" w:ascii="Times New Roman" w:hAnsi="Times New Roman" w:cs="Times New Roman"/>
          <w:bCs/>
          <w:kern w:val="0"/>
          <w:sz w:val="24"/>
        </w:rPr>
        <w:t>-based teaching method</w:t>
      </w:r>
    </w:p>
    <w:p>
      <w:pPr>
        <w:widowControl/>
        <w:numPr>
          <w:ilvl w:val="0"/>
          <w:numId w:val="0"/>
        </w:numPr>
        <w:snapToGrid w:val="0"/>
        <w:spacing w:line="400" w:lineRule="exact"/>
        <w:jc w:val="left"/>
        <w:rPr>
          <w:rFonts w:hint="eastAsia" w:ascii="Times New Roman" w:hAnsi="Times New Roman" w:cs="Times New Roman" w:eastAsiaTheme="minorEastAsia"/>
          <w:b/>
          <w:kern w:val="0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panose1 w:val="02010600030101010101"/>
    <w:charset w:val="88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Calibri Light">
    <w:altName w:val="PMingLiU"/>
    <w:panose1 w:val="020F0302020204030204"/>
    <w:charset w:val="00"/>
    <w:family w:val="auto"/>
    <w:pitch w:val="default"/>
    <w:sig w:usb0="00000000" w:usb1="00000000" w:usb2="00000000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旗黑-55S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-55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86F9C"/>
    <w:multiLevelType w:val="multilevel"/>
    <w:tmpl w:val="3E186F9C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59AC6B"/>
    <w:multiLevelType w:val="singleLevel"/>
    <w:tmpl w:val="5959AC6B"/>
    <w:lvl w:ilvl="0" w:tentative="0">
      <w:start w:val="7"/>
      <w:numFmt w:val="decimal"/>
      <w:suff w:val="space"/>
      <w:lvlText w:val="%1."/>
      <w:lvlJc w:val="left"/>
    </w:lvl>
  </w:abstractNum>
  <w:abstractNum w:abstractNumId="2">
    <w:nsid w:val="5DB94AC4"/>
    <w:multiLevelType w:val="multilevel"/>
    <w:tmpl w:val="5DB94AC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11D92"/>
    <w:rsid w:val="000111D8"/>
    <w:rsid w:val="0002797E"/>
    <w:rsid w:val="000A27FE"/>
    <w:rsid w:val="000A494C"/>
    <w:rsid w:val="001B1F91"/>
    <w:rsid w:val="00311523"/>
    <w:rsid w:val="005F026F"/>
    <w:rsid w:val="005F02EF"/>
    <w:rsid w:val="006A230C"/>
    <w:rsid w:val="0070147E"/>
    <w:rsid w:val="0070416F"/>
    <w:rsid w:val="008F0D6D"/>
    <w:rsid w:val="00A9497D"/>
    <w:rsid w:val="00AE0BE8"/>
    <w:rsid w:val="00B54343"/>
    <w:rsid w:val="00B82AC9"/>
    <w:rsid w:val="00BA2D28"/>
    <w:rsid w:val="00C52EBD"/>
    <w:rsid w:val="00CC081C"/>
    <w:rsid w:val="00CC3B24"/>
    <w:rsid w:val="00CC403B"/>
    <w:rsid w:val="00CC6EC6"/>
    <w:rsid w:val="00CE2B6F"/>
    <w:rsid w:val="00D446D7"/>
    <w:rsid w:val="00D71D2B"/>
    <w:rsid w:val="00E42BE4"/>
    <w:rsid w:val="00FC0866"/>
    <w:rsid w:val="380B6B45"/>
    <w:rsid w:val="51F617C9"/>
    <w:rsid w:val="56A11D92"/>
    <w:rsid w:val="5A550146"/>
    <w:rsid w:val="6565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line="440" w:lineRule="exact"/>
      <w:jc w:val="center"/>
      <w:outlineLvl w:val="0"/>
    </w:pPr>
    <w:rPr>
      <w:rFonts w:ascii="Times New Roman" w:hAnsi="Times New Roman" w:eastAsia="黑体" w:cs="Times New Roman"/>
      <w:bCs/>
      <w:kern w:val="44"/>
      <w:sz w:val="36"/>
      <w:szCs w:val="44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99"/>
    <w:pPr>
      <w:ind w:firstLine="420" w:firstLineChars="200"/>
    </w:pPr>
  </w:style>
  <w:style w:type="character" w:customStyle="1" w:styleId="6">
    <w:name w:val="Heading 1 Char"/>
    <w:basedOn w:val="3"/>
    <w:link w:val="2"/>
    <w:uiPriority w:val="0"/>
    <w:rPr>
      <w:rFonts w:ascii="Times New Roman" w:hAnsi="Times New Roman" w:eastAsia="黑体" w:cs="Times New Roman"/>
      <w:bCs/>
      <w:kern w:val="44"/>
      <w:sz w:val="36"/>
      <w:szCs w:val="44"/>
      <w:lang w:eastAsia="zh-CN"/>
    </w:rPr>
  </w:style>
  <w:style w:type="paragraph" w:customStyle="1" w:styleId="7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349</Words>
  <Characters>1991</Characters>
  <Lines>16</Lines>
  <Paragraphs>4</Paragraphs>
  <ScaleCrop>false</ScaleCrop>
  <LinksUpToDate>false</LinksUpToDate>
  <CharactersWithSpaces>2336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2017-06-06T02:46:00Z</dcterms:created>
  <dc:creator>Administrator</dc:creator>
  <cp:lastModifiedBy>Administrator</cp:lastModifiedBy>
  <dcterms:modified xsi:type="dcterms:W3CDTF">2017-07-03T02:31:07Z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